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201</w:t>
      </w:r>
      <w:r>
        <w:rPr>
          <w:rFonts w:hint="eastAsia" w:ascii="宋体" w:hAnsi="宋体"/>
          <w:b/>
          <w:color w:val="000000"/>
          <w:sz w:val="28"/>
          <w:szCs w:val="28"/>
          <w:lang w:val="en-US" w:eastAsia="zh-CN"/>
        </w:rPr>
        <w:t>9年</w:t>
      </w:r>
      <w:r>
        <w:rPr>
          <w:rFonts w:hint="eastAsia" w:ascii="宋体" w:hAnsi="宋体"/>
          <w:b/>
          <w:color w:val="000000"/>
          <w:sz w:val="28"/>
          <w:szCs w:val="28"/>
        </w:rPr>
        <w:t>初级中药师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《</w:t>
      </w:r>
      <w:r>
        <w:rPr>
          <w:rFonts w:ascii="宋体" w:hAnsi="宋体"/>
          <w:b/>
          <w:color w:val="000000"/>
          <w:sz w:val="28"/>
          <w:szCs w:val="28"/>
        </w:rPr>
        <w:t>专业实践技能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》考试大纲</w:t>
      </w:r>
    </w:p>
    <w:p>
      <w:pPr>
        <w:jc w:val="center"/>
        <w:rPr>
          <w:rFonts w:ascii="宋体" w:hAnsi="宋体"/>
          <w:b/>
          <w:color w:val="000000"/>
          <w:szCs w:val="21"/>
        </w:rPr>
      </w:pPr>
    </w:p>
    <w:tbl>
      <w:tblPr>
        <w:tblStyle w:val="11"/>
        <w:tblW w:w="7844" w:type="dxa"/>
        <w:tblInd w:w="1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1276"/>
        <w:gridCol w:w="1701"/>
        <w:gridCol w:w="4060"/>
        <w:gridCol w:w="24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567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考试学科</w:t>
            </w:r>
          </w:p>
        </w:tc>
        <w:tc>
          <w:tcPr>
            <w:tcW w:w="1276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1701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406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240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考试科目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567" w:type="dxa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</w:t>
            </w:r>
          </w:p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剂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</w:t>
            </w: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一、绪论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中药药剂学的性质与常用术语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.中药药剂学的性质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.剂型选择的基本原则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.中药药剂的常用术语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药物剂型的分类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.按物态分类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.按制法分类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.按分散系统分类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.按给药途径与方法分类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中药药剂工作</w:t>
            </w:r>
          </w:p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的依据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.药典的性质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.中国药典的版次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.局颁标准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二、制药卫生</w:t>
            </w:r>
          </w:p>
        </w:tc>
        <w:tc>
          <w:tcPr>
            <w:tcW w:w="1701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（一）制药卫生标准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1.药品卫生标准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2.预防中药制剂污染的措施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（二）制药环境的卫生管理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洁净室的等级及适用范围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（三）灭菌方法与无菌操作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1.物理灭菌法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2.滤过除菌法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3.化学灭菌法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4.无菌操作法的要点与注意事项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（四）防腐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常用防腐剂的性质与应用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eastAsia="宋体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/>
                <w:kern w:val="0"/>
                <w:szCs w:val="21"/>
                <w:lang w:eastAsia="zh-CN"/>
              </w:rPr>
              <w:t>三、粉碎、筛析与混合</w:t>
            </w:r>
          </w:p>
        </w:tc>
        <w:tc>
          <w:tcPr>
            <w:tcW w:w="1701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（一）粉碎方法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1.粉碎的目的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2.干法粉碎的适用范围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3.湿法粉碎的适用范围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4.低温粉碎的适用范围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（二）筛析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1.筛析的目的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2.药筛的种类与规格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3.粉末分等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（三）混合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1.混合原则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2.混合方法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四、散剂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散剂的特点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散剂的特点与分类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散剂的制备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.一般散剂的制法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.特殊散剂的制法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五、浸提、分</w:t>
            </w:r>
          </w:p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离、浓缩与干燥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浸提的原理与影响因素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.中药的浸提过程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.影响浸提的主要因素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常用浸提方法与设备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.常用浸提溶剂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.常用浸提方法的特点与应用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浸提液的分离方法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常用分离方法的特点与选用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常用精制方法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.水提醇沉法的原理和操作过程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.膜分离法的原理与应用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.树脂吸附分离与应用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浓缩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.常用浓缩方法的种类与应用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.影响浓缩效率的因素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干燥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常用干燥方法的种类与应用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77" w:type="dxa"/>
            <w:gridSpan w:val="4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tbl>
            <w:tblPr>
              <w:tblW w:w="7122" w:type="dxa"/>
              <w:jc w:val="center"/>
              <w:tblCellSpacing w:w="7" w:type="dxa"/>
              <w:tblInd w:w="45" w:type="dxa"/>
              <w:shd w:val="clear" w:color="auto" w:fill="DEDEDE"/>
              <w:tblLayout w:type="fixed"/>
              <w:tblCellMar>
                <w:top w:w="45" w:type="dxa"/>
                <w:left w:w="45" w:type="dxa"/>
                <w:bottom w:w="45" w:type="dxa"/>
                <w:right w:w="45" w:type="dxa"/>
              </w:tblCellMar>
            </w:tblPr>
            <w:tblGrid>
              <w:gridCol w:w="1127"/>
              <w:gridCol w:w="1956"/>
              <w:gridCol w:w="3539"/>
              <w:gridCol w:w="500"/>
            </w:tblGrid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六、浸出药剂</w:t>
                  </w:r>
                </w:p>
              </w:tc>
              <w:tc>
                <w:tcPr>
                  <w:tcW w:w="1944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（一）浸出药剂的特点与分类</w:t>
                  </w: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1.浸出药剂的特点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2.浸出药剂的分类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（二）浸出药剂的种类与制法</w:t>
                  </w: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1.合剂的特点与制法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2.糖浆剂与煎膏剂的特点与制法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3.酒剂与酊剂的特点与制法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4.流浸膏剂、浸膏剂和茶剂的特点与制法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七、液体药剂</w:t>
                  </w:r>
                </w:p>
              </w:tc>
              <w:tc>
                <w:tcPr>
                  <w:tcW w:w="1944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（一）液体药剂的特点与分类</w:t>
                  </w: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1.液体药剂的持点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2.液体药剂的分类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（二）表面活性剂</w:t>
                  </w: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1.表面活性剂的含义、特点与基本性质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2.常用表面活性剂的种类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（三）增加药物溶解度的方法</w:t>
                  </w: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增溶的方法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（四）真溶液型药剂</w:t>
                  </w: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1.真溶液型药剂的特点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2.各种真溶液型药剂的制法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（五）胶体溶液型药剂</w:t>
                  </w: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1.胶体溶液型药剂的分类与特点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2.胶体溶液型药剂的制法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（六）乳浊液型药剂</w:t>
                  </w: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1.乳浊液型药剂的分类与特点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shd w:val="clear" w:color="auto" w:fill="DEDEDE"/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2.乳化剂的特点与分类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3.乳浊液型药剂的制法及稳定性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restart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（七）混悬液型药剂</w:t>
                  </w: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1.混悬液型药剂特点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2.混悬液型药剂的常用附加剂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  <w:tr>
              <w:tblPrEx>
                <w:tblLayout w:type="fixed"/>
                <w:tblCellMar>
                  <w:top w:w="45" w:type="dxa"/>
                  <w:left w:w="45" w:type="dxa"/>
                  <w:bottom w:w="45" w:type="dxa"/>
                  <w:right w:w="45" w:type="dxa"/>
                </w:tblCellMar>
              </w:tblPrEx>
              <w:trPr>
                <w:tblCellSpacing w:w="7" w:type="dxa"/>
                <w:jc w:val="center"/>
              </w:trPr>
              <w:tc>
                <w:tcPr>
                  <w:tcW w:w="1106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1944" w:type="dxa"/>
                  <w:vMerge w:val="continue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</w:p>
              </w:tc>
              <w:tc>
                <w:tcPr>
                  <w:tcW w:w="3527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3.混悬液型药剂的制法</w:t>
                  </w:r>
                </w:p>
              </w:tc>
              <w:tc>
                <w:tcPr>
                  <w:tcW w:w="479" w:type="dxa"/>
                  <w:shd w:val="clear" w:color="auto" w:fill="FFFFFF"/>
                  <w:vAlign w:val="center"/>
                </w:tcPr>
                <w:p>
                  <w:pPr>
                    <w:autoSpaceDE w:val="0"/>
                    <w:autoSpaceDN w:val="0"/>
                    <w:rPr>
                      <w:rFonts w:hint="eastAsia" w:ascii="宋体" w:hAnsi="宋体"/>
                      <w:kern w:val="0"/>
                      <w:szCs w:val="21"/>
                    </w:rPr>
                  </w:pPr>
                  <w:r>
                    <w:rPr>
                      <w:rFonts w:hint="eastAsia" w:ascii="宋体" w:hAnsi="宋体"/>
                      <w:kern w:val="0"/>
                      <w:szCs w:val="21"/>
                      <w:lang w:val="en-US" w:eastAsia="zh-CN"/>
                    </w:rPr>
                    <w:t>4</w:t>
                  </w:r>
                </w:p>
              </w:tc>
            </w:tr>
          </w:tbl>
          <w:p>
            <w:pPr>
              <w:autoSpaceDE w:val="0"/>
              <w:autoSpaceDN w:val="0"/>
              <w:rPr>
                <w:rFonts w:hint="eastAsia" w:ascii="宋体" w:hAnsi="宋体"/>
                <w:kern w:val="0"/>
                <w:szCs w:val="21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八、注射剂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附：眼用溶液剂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.注射剂的特点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.注射剂的分类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.注射剂的质量要求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6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热原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.热原的基本性质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.注射剂中污染热原的途径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.注射剂中去除热原的方法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.热原的检查方法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注射剂的溶剂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注射剂的常用溶剂与制备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注射剂的附加剂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.增加主药溶解度附加剂的种类与应用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.防止主药氧化附加剂的种类与应用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.抑制微生物增殖附加剂的种类与应用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.调整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pH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值附加剂的种类与应用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.调节渗透压附加剂的种类与应用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.减轻疼痛附加剂的种类与应用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注射剂的制备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.中药注射剂的提取与精制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.中药注射剂的质量检查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输液剂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输液剂的特点与种类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眼用溶液剂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.眼用溶液剂的特点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.眼用溶液剂的质量要求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.眼用溶液剂的附加剂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九、外用膏剂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.外用膏剂的特点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.外用膏剂的分类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软膏剂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.软膏剂常用基质的种类与选用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.软膏剂的制法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.眼膏剂的特点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 xml:space="preserve"> 文都网校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黑膏药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.黑膏药原料的处理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.黑膏药的基质组成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.黑膏药的制法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橡胶膏剂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.橡胶膏剂的基质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4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.橡胶膏剂的制法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凝胶膏剂与涂膜剂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.凝胶膏剂的组成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.涂膜剂的组成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十、栓剂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栓剂的特点与作用机理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.栓剂的分类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.栓剂的作用特点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.栓剂中药物的吸收途径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栓剂的基质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.栓剂基质的要求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.栓剂基质的种类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栓剂的制法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.热熔法制备栓剂的工艺流程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.润滑剂的种类与选用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栓剂的质量要求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.重量差异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.融变时限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.微生物限度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十一、胶囊剂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胶囊剂的分类与特点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.胶囊剂的分类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.空胶囊的规格与选用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胶囊剂的制备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.硬胶囊剂的制备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.软胶囊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胶丸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的制备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胶囊剂的质量要求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胶囊剂的质量检查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十二、丸剂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丸剂的特点与分类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.丸剂的特点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.丸剂的分类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水丸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.水丸常用赋形剂的选用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.药粉的要求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.水丸的制法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蜜丸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.蜜丸的特点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.蜂蜜的选择与炼制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.炼蜜的规格与选用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.蜜丸的制法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浓缩丸和水蜜丸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.浓缩丸的特点及制法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.水蜜丸的特点及制法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糊丸和蜡丸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.糊丸的常用赋形剂及制法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.蜡丸的常用赋形剂及制法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滴丸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.滴丸的特点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.常用基质的种类与选用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.冷却剂的种类与选用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.滴丸的制法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丸剂的包衣与质量检查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.丸剂包衣的目的、种类及材料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.丸剂的质量检查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十三、颗粒剂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颗粒剂的分类与特点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.颗粒剂的特点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.颗粒剂的分类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颗粒剂的制法与质量要求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.颗粒剂的制法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.颗粒剂的质量要求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十四、片剂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概述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.片剂的特点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.片剂的分类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片剂的赋形剂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.稀释剂与吸收剂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.润湿剂与黏合剂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.崩解剂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.润滑剂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4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片剂的制备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.制颗粒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.压片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片剂的包衣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.片剂包衣的目的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.片剂包衣的种类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.片剂包衣的方法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片剂质量检查</w:t>
            </w:r>
          </w:p>
        </w:tc>
        <w:tc>
          <w:tcPr>
            <w:tcW w:w="40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质量检查项目</w:t>
            </w:r>
          </w:p>
        </w:tc>
        <w:tc>
          <w:tcPr>
            <w:tcW w:w="2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7277" w:type="dxa"/>
            <w:gridSpan w:val="4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十五、药物制剂新技术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（一）β-环糊精包合技术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1.β-环糊精包合的作用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2.包合物的制备方法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（二）微型包囊技术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1.微型包囊的含义与特点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2.常用包囊材料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3.相分离-凝聚法制备微囊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（三）固体分散技术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1.固体分散体的含义与特点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2.常用载体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3.固体分散体的制法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十六、中药制剂的稳定性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（一）影响中药制剂稳定性的因素及稳定化方法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1.影响中药制剂稳定性的因素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2.延缓药物水解的方法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3.防止药物氧化的方法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（二）药剂稳定性的试验方法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1.留样观察法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2.加速试验法</w:t>
            </w:r>
          </w:p>
          <w:p>
            <w:pPr>
              <w:autoSpaceDE w:val="0"/>
              <w:autoSpaceDN w:val="0"/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eastAsia="zh-CN"/>
              </w:rPr>
              <w:t>3.药物制剂半衰期和有效期的求算方法</w:t>
            </w:r>
          </w:p>
        </w:tc>
      </w:tr>
    </w:tbl>
    <w:p>
      <w:pPr>
        <w:autoSpaceDE w:val="0"/>
        <w:autoSpaceDN w:val="0"/>
        <w:rPr>
          <w:rFonts w:ascii="宋体" w:hAnsi="宋体" w:cs="宋体"/>
          <w:color w:val="000000"/>
          <w:kern w:val="0"/>
          <w:szCs w:val="21"/>
        </w:rPr>
      </w:pPr>
    </w:p>
    <w:tbl>
      <w:tblPr>
        <w:tblStyle w:val="11"/>
        <w:tblW w:w="8164" w:type="dxa"/>
        <w:tblInd w:w="142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7"/>
        <w:gridCol w:w="1276"/>
        <w:gridCol w:w="1701"/>
        <w:gridCol w:w="4025"/>
        <w:gridCol w:w="595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567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考试学科</w:t>
            </w:r>
          </w:p>
        </w:tc>
        <w:tc>
          <w:tcPr>
            <w:tcW w:w="1276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单元</w:t>
            </w:r>
          </w:p>
        </w:tc>
        <w:tc>
          <w:tcPr>
            <w:tcW w:w="1701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细目</w:t>
            </w:r>
          </w:p>
        </w:tc>
        <w:tc>
          <w:tcPr>
            <w:tcW w:w="402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要点</w:t>
            </w:r>
          </w:p>
        </w:tc>
        <w:tc>
          <w:tcPr>
            <w:tcW w:w="595" w:type="dxa"/>
            <w:tcBorders>
              <w:top w:val="single" w:color="auto" w:sz="12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考试科目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67" w:type="dxa"/>
            <w:vMerge w:val="restart"/>
            <w:tcBorders>
              <w:top w:val="single" w:color="auto" w:sz="8" w:space="0"/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调</w:t>
            </w:r>
          </w:p>
          <w:p>
            <w:pPr>
              <w:autoSpaceDE w:val="0"/>
              <w:autoSpaceDN w:val="0"/>
              <w:jc w:val="center"/>
              <w:rPr>
                <w:rFonts w:hint="eastAsia"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剂</w:t>
            </w:r>
          </w:p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学</w:t>
            </w: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一、中药处方与处方应付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组方原则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.君臣佐使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.处方配伍规律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处方类型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.处方的意义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.处方的分类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.法定处方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.协定处方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.医师处方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处方格式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处方格式和项目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处方常用术语</w:t>
            </w:r>
            <w:bookmarkStart w:id="0" w:name="_GoBack"/>
            <w:bookmarkEnd w:id="0"/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.处方常用术语及分类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.药引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.处方脚注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处方管理制度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处方管理制度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处方药品的规范化名称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.处方药品正名与应付常规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.处方药品合写与应付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.药品别名与应付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二、中药配伍及用药禁忌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中药配伍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.“七情”配伍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.相畏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.相反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.相恶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用药禁忌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.配伍禁忌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.十八反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.十九畏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.妊娠用药禁忌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三、合理用药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合理用药概述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合理用药的意义和目的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合理用药指导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合理用药指导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中药不良反应监测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.药品不良反应监测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.药品不良反应监测管理制度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9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.药品不良反应监测报告范围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.药品不良反应监测工作程序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中药不良反应与药源性疾病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.药源性疾病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.中药不良反应监测制度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.中药不良反应监测方法与内容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四、特殊中药的调剂与管理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麻醉中药的调剂与管理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.麻醉中药品种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.麻醉中药的使用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.麻醉中药处方管理制度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毒性中药的调剂与管理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.毒性中药的品种与分类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.毒性中药的调配管理制度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.毒性中药的用量用法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.毒性中药处方管理制度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.常见中药中毒反应和处理的基本原则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五、中药用量与计量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中药用量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.中药的用量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.确定中药用量的依据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.特殊药材的处方用量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中药计量及计量工具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.古今度量衡对照及换算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.常用中药计量工具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.戥秤的使用方法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六、中药调剂设施及工作制度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（一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基本设施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.饮片斗柜及调剂台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.常用调剂工具及用途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斗谱排列原则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.斗谱的排列原则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.特殊中药的存放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调剂用药的供应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.调剂用药供应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.查斗、装斗、调配、保管的关系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七、饮片调剂操作规程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收方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收方与处方审查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含制度，下同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计价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计价的原则与方法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调配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中药处方的调配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复核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复核的工作程序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发药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发药的工作程序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调剂质量管理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.配发药剂的质量要点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.检查方法及质量评定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常用中药传统术语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常用中药传统术语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八、中成药调剂操作规程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中成药调剂操作规程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.中成药调剂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.中成药调剂操作规程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.药品有效期的推算及判定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中成药处方药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中成药处方药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中成药非处方药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.中成药非处方药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.非处方药的遴选原则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.常用中成药非处方药品种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医疗机构自制制剂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.医疗机构自制制剂配制规范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.医疗机构自制制剂使用注意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九、中药煎服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煎药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.汤剂概述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.汤剂的煎煮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.中药特殊煎药方法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服药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.服药温度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.服药剂量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.服药时间及次数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.服药饮食禁忌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煎药工作制度及操作常规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.煎药工作制度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.煎药操作常规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十、医院药品采购与供应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药品采购管理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.药品采购基本制度与程序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.药品集中采购与招标采购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3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药品入、出库管理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药品入、出库管理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十一、中药品质变异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影响中药品质变异的因素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.中药变质的自身因素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.中药变质的环境因素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霉变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1.中药发霉的原因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.预防中药霉变的措施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.常见的霉菌种类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虫蛀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.常见的中药害虫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.中药害虫的危害性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.害虫的主要来源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.害虫蛀蚀的防治措施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变色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变色及易变色的品种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泛油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泛油及易泛油的品种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气味散失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气味散失的原因及品种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其他变异现象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.升华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.风化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.潮解溶化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.粘连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.腐烂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十二、中药养护技术</w:t>
            </w: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一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干燥养护技术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干燥养护技术的种类及应用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二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冷藏养护技术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冷藏养护技术及应用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三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埋藏养护技术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埋藏养护技术的种类及应用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四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化学药剂养护技术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化学药剂养护技术的种类及应用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五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对抗同贮养护技术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对抗同贮养护技术及应用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六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气调养护技术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气调养护技术及应用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5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七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常用中药材的养护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.根及根茎类药材的养护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.叶、花、全草类中药的养护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.果实与种子类药材的养护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.茎皮类药材的养护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5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.菌类药材的养护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6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.动物类药材的养护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8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7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.贵细药的养护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八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中药饮片的养护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.中药饮片的养护方法</w:t>
            </w:r>
          </w:p>
        </w:tc>
        <w:tc>
          <w:tcPr>
            <w:tcW w:w="59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.中药饮片的变异现象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九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中成药养护</w:t>
            </w: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.常见中成药剂型的养护技术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.中成药常见的变质现象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十三、医院药检工作及药品质量管理</w:t>
            </w:r>
          </w:p>
        </w:tc>
        <w:tc>
          <w:tcPr>
            <w:tcW w:w="1701" w:type="dxa"/>
            <w:vMerge w:val="restart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.药检室的设置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2" w:hRule="atLeast"/>
        </w:trPr>
        <w:tc>
          <w:tcPr>
            <w:tcW w:w="567" w:type="dxa"/>
            <w:vMerge w:val="continue"/>
            <w:tcBorders>
              <w:left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.药检工作职责与制度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 w:hRule="atLeast"/>
        </w:trPr>
        <w:tc>
          <w:tcPr>
            <w:tcW w:w="567" w:type="dxa"/>
            <w:vMerge w:val="continue"/>
            <w:tcBorders>
              <w:left w:val="single" w:color="auto" w:sz="12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276" w:type="dxa"/>
            <w:vMerge w:val="continue"/>
            <w:tcBorders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402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8" w:space="0"/>
            </w:tcBorders>
            <w:vAlign w:val="center"/>
          </w:tcPr>
          <w:p>
            <w:pPr>
              <w:autoSpaceDE w:val="0"/>
              <w:autoSpaceDN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3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.常用药品质量检验方法及要点</w:t>
            </w:r>
          </w:p>
        </w:tc>
        <w:tc>
          <w:tcPr>
            <w:tcW w:w="595" w:type="dxa"/>
            <w:tcBorders>
              <w:top w:val="single" w:color="auto" w:sz="8" w:space="0"/>
              <w:left w:val="single" w:color="auto" w:sz="8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</w:p>
        </w:tc>
      </w:tr>
    </w:tbl>
    <w:p>
      <w:pPr>
        <w:jc w:val="left"/>
        <w:rPr>
          <w:rFonts w:ascii="宋体" w:hAnsi="宋体"/>
          <w:color w:val="000000"/>
          <w:szCs w:val="21"/>
        </w:rPr>
      </w:pPr>
    </w:p>
    <w:p/>
    <w:p>
      <w:pPr>
        <w:jc w:val="left"/>
        <w:rPr>
          <w:b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7E47"/>
    <w:rsid w:val="00006BB5"/>
    <w:rsid w:val="001263CD"/>
    <w:rsid w:val="001A40E8"/>
    <w:rsid w:val="001C747C"/>
    <w:rsid w:val="002C0FD5"/>
    <w:rsid w:val="00313ADB"/>
    <w:rsid w:val="003E42EC"/>
    <w:rsid w:val="00495C33"/>
    <w:rsid w:val="004D60EB"/>
    <w:rsid w:val="005450CC"/>
    <w:rsid w:val="005627E6"/>
    <w:rsid w:val="005815A4"/>
    <w:rsid w:val="005C678E"/>
    <w:rsid w:val="005D699B"/>
    <w:rsid w:val="00601D06"/>
    <w:rsid w:val="00645F76"/>
    <w:rsid w:val="00657A3F"/>
    <w:rsid w:val="006E59E0"/>
    <w:rsid w:val="007768EC"/>
    <w:rsid w:val="00896696"/>
    <w:rsid w:val="009F7E68"/>
    <w:rsid w:val="00B66A60"/>
    <w:rsid w:val="00B813EB"/>
    <w:rsid w:val="00C07FF5"/>
    <w:rsid w:val="00C55FDA"/>
    <w:rsid w:val="00C57E47"/>
    <w:rsid w:val="00CF2A40"/>
    <w:rsid w:val="00DD66DA"/>
    <w:rsid w:val="00DE351F"/>
    <w:rsid w:val="00F20050"/>
    <w:rsid w:val="00F277B0"/>
    <w:rsid w:val="03D816BF"/>
    <w:rsid w:val="25A612D4"/>
    <w:rsid w:val="34C9402B"/>
    <w:rsid w:val="374C77B3"/>
    <w:rsid w:val="39D90150"/>
    <w:rsid w:val="42BC0C0E"/>
    <w:rsid w:val="56474B1D"/>
    <w:rsid w:val="5A73541D"/>
    <w:rsid w:val="5D2B1CA9"/>
    <w:rsid w:val="5E366414"/>
    <w:rsid w:val="64705AA1"/>
    <w:rsid w:val="6EC417C9"/>
    <w:rsid w:val="77407A1E"/>
    <w:rsid w:val="79A03F93"/>
    <w:rsid w:val="7A533D8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FollowedHyperlink"/>
    <w:basedOn w:val="6"/>
    <w:semiHidden/>
    <w:unhideWhenUsed/>
    <w:uiPriority w:val="99"/>
    <w:rPr>
      <w:color w:val="444444"/>
      <w:u w:val="none"/>
    </w:rPr>
  </w:style>
  <w:style w:type="character" w:styleId="9">
    <w:name w:val="Emphasis"/>
    <w:basedOn w:val="6"/>
    <w:qFormat/>
    <w:uiPriority w:val="20"/>
  </w:style>
  <w:style w:type="character" w:styleId="10">
    <w:name w:val="Hyperlink"/>
    <w:basedOn w:val="6"/>
    <w:semiHidden/>
    <w:unhideWhenUsed/>
    <w:uiPriority w:val="99"/>
    <w:rPr>
      <w:color w:val="444444"/>
      <w:u w:val="none"/>
    </w:rPr>
  </w:style>
  <w:style w:type="character" w:customStyle="1" w:styleId="12">
    <w:name w:val="页脚 Char"/>
    <w:basedOn w:val="6"/>
    <w:link w:val="3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3">
    <w:name w:val="页眉 Char"/>
    <w:basedOn w:val="6"/>
    <w:link w:val="4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14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5">
    <w:name w:val="bds_more"/>
    <w:basedOn w:val="6"/>
    <w:uiPriority w:val="0"/>
    <w:rPr>
      <w:bdr w:val="none" w:color="auto" w:sz="0" w:space="0"/>
    </w:rPr>
  </w:style>
  <w:style w:type="character" w:customStyle="1" w:styleId="16">
    <w:name w:val="bds_more1"/>
    <w:basedOn w:val="6"/>
    <w:uiPriority w:val="0"/>
    <w:rPr>
      <w:bdr w:val="none" w:color="auto" w:sz="0" w:space="0"/>
    </w:rPr>
  </w:style>
  <w:style w:type="character" w:customStyle="1" w:styleId="17">
    <w:name w:val="bds_more2"/>
    <w:basedOn w:val="6"/>
    <w:uiPriority w:val="0"/>
    <w:rPr>
      <w:rFonts w:hint="eastAsia" w:ascii="宋体" w:hAnsi="宋体" w:eastAsia="宋体" w:cs="宋体"/>
      <w:bdr w:val="none" w:color="auto" w:sz="0" w:space="0"/>
    </w:rPr>
  </w:style>
  <w:style w:type="character" w:customStyle="1" w:styleId="18">
    <w:name w:val="bds_nopic"/>
    <w:basedOn w:val="6"/>
    <w:uiPriority w:val="0"/>
  </w:style>
  <w:style w:type="character" w:customStyle="1" w:styleId="19">
    <w:name w:val="bds_nopic1"/>
    <w:basedOn w:val="6"/>
    <w:uiPriority w:val="0"/>
  </w:style>
  <w:style w:type="character" w:customStyle="1" w:styleId="20">
    <w:name w:val="bds_nopic2"/>
    <w:basedOn w:val="6"/>
    <w:uiPriority w:val="0"/>
  </w:style>
  <w:style w:type="character" w:customStyle="1" w:styleId="21">
    <w:name w:val="layui-layer-tabnow"/>
    <w:basedOn w:val="6"/>
    <w:uiPriority w:val="0"/>
    <w:rPr>
      <w:bdr w:val="single" w:color="CCCCCC" w:sz="6" w:space="0"/>
      <w:shd w:val="clear" w:fill="FFFFFF"/>
    </w:rPr>
  </w:style>
  <w:style w:type="character" w:customStyle="1" w:styleId="22">
    <w:name w:val="first-child"/>
    <w:basedOn w:val="6"/>
    <w:uiPriority w:val="0"/>
    <w:rPr>
      <w:bdr w:val="none" w:color="auto" w:sz="0" w:space="0"/>
    </w:rPr>
  </w:style>
  <w:style w:type="character" w:customStyle="1" w:styleId="23">
    <w:name w:val="d_current"/>
    <w:basedOn w:val="6"/>
    <w:uiPriority w:val="0"/>
    <w:rPr>
      <w:b/>
      <w:color w:val="FFFFFF"/>
      <w:shd w:val="clear" w:fill="04A03B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258</Words>
  <Characters>1473</Characters>
  <Lines>12</Lines>
  <Paragraphs>3</Paragraphs>
  <TotalTime>2</TotalTime>
  <ScaleCrop>false</ScaleCrop>
  <LinksUpToDate>false</LinksUpToDate>
  <CharactersWithSpaces>1728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2015-12-11T01:59:00Z</dcterms:created>
  <dc:creator>zengyaoyu</dc:creator>
  <cp:lastModifiedBy>Cheeyee</cp:lastModifiedBy>
  <dcterms:modified xsi:type="dcterms:W3CDTF">2018-12-06T02:27:41Z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