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4</w:t>
      </w:r>
    </w:p>
    <w:p>
      <w:pPr>
        <w:spacing w:line="640" w:lineRule="exact"/>
        <w:ind w:left="105" w:leftChars="50" w:right="105" w:rightChars="50" w:firstLine="602" w:firstLineChars="200"/>
        <w:contextualSpacing/>
        <w:rPr>
          <w:rFonts w:ascii="宋体" w:cs="宋体"/>
          <w:b/>
          <w:sz w:val="32"/>
          <w:szCs w:val="32"/>
        </w:rPr>
      </w:pPr>
      <w:r>
        <w:rPr>
          <w:rFonts w:ascii="仿宋" w:hAnsi="仿宋" w:eastAsia="仿宋" w:cs="仿宋"/>
          <w:b/>
          <w:sz w:val="30"/>
          <w:szCs w:val="30"/>
        </w:rPr>
        <w:t xml:space="preserve"> </w:t>
      </w:r>
      <w:r>
        <w:rPr>
          <w:rFonts w:hAnsi="宋体"/>
          <w:b/>
          <w:sz w:val="36"/>
          <w:szCs w:val="36"/>
        </w:rPr>
        <w:t xml:space="preserve"> </w:t>
      </w:r>
      <w:r>
        <w:rPr>
          <w:rFonts w:hint="eastAsia" w:hAnsi="宋体"/>
          <w:b/>
          <w:sz w:val="36"/>
          <w:szCs w:val="36"/>
        </w:rPr>
        <w:t xml:space="preserve">    </w:t>
      </w:r>
      <w:r>
        <w:rPr>
          <w:rFonts w:hAnsi="宋体"/>
          <w:b/>
          <w:sz w:val="36"/>
          <w:szCs w:val="36"/>
        </w:rPr>
        <w:t>201</w:t>
      </w:r>
      <w:r>
        <w:rPr>
          <w:rFonts w:hint="eastAsia" w:hAnsi="宋体"/>
          <w:b/>
          <w:sz w:val="36"/>
          <w:szCs w:val="36"/>
        </w:rPr>
        <w:t>8年度卫生系列</w:t>
      </w:r>
      <w:r>
        <w:rPr>
          <w:rFonts w:hAnsi="宋体"/>
          <w:b/>
          <w:sz w:val="36"/>
          <w:szCs w:val="36"/>
        </w:rPr>
        <w:t>评审材料目录</w:t>
      </w:r>
    </w:p>
    <w:p>
      <w:pPr>
        <w:rPr>
          <w:rFonts w:hint="eastAsia" w:ascii="宋体" w:hAnsi="宋体"/>
          <w:b/>
          <w:sz w:val="36"/>
          <w:szCs w:val="36"/>
        </w:rPr>
      </w:pPr>
    </w:p>
    <w:p>
      <w:pPr>
        <w:spacing w:line="640" w:lineRule="exact"/>
        <w:ind w:left="105" w:leftChars="50" w:right="105" w:rightChars="50"/>
        <w:contextualSpacing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一、不装订材料</w:t>
      </w:r>
    </w:p>
    <w:p>
      <w:pPr>
        <w:spacing w:line="640" w:lineRule="exact"/>
        <w:ind w:left="105" w:leftChars="50" w:right="105" w:rightChars="50" w:firstLine="450" w:firstLineChars="150"/>
        <w:contextualSpacing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《卫生技术个人综合材料一览表》6份（下载网上自动生成的表格）、《专业技术职务任职资格评审表》2份</w:t>
      </w:r>
    </w:p>
    <w:p>
      <w:pPr>
        <w:spacing w:line="640" w:lineRule="exact"/>
        <w:ind w:right="105" w:rightChars="50"/>
        <w:contextualSpacing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二、需装订的材料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1、评审材料目录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2、2018年度事业单位岗位使用情况（事业单位提供）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3、用人单位打分排序表（按医、药、护、技分列）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4、《个人申报专业技术任职资格诚信承诺书》原件及用人单位公示证明原件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5、学历证书复印件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6、专业技术职务任职资格证书、聘任证书复印件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7、执业资格证书复印件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8、水平能力测试合格证复印件</w:t>
      </w:r>
    </w:p>
    <w:p>
      <w:pPr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9、免试表、转评审批表、破格表（下载网上自动生成的表格）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10、机关调入、海外引进、非国有单位证明复印件</w:t>
      </w:r>
    </w:p>
    <w:p>
      <w:pPr>
        <w:jc w:val="left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color w:val="000000"/>
          <w:sz w:val="30"/>
          <w:szCs w:val="30"/>
        </w:rPr>
        <w:t>11、外语、计算机合格证以及</w:t>
      </w:r>
      <w:r>
        <w:rPr>
          <w:rFonts w:hint="eastAsia" w:ascii="仿宋" w:hAnsi="仿宋" w:eastAsia="仿宋" w:cs="仿宋"/>
          <w:sz w:val="30"/>
          <w:szCs w:val="30"/>
        </w:rPr>
        <w:t>能反应其</w:t>
      </w:r>
      <w:r>
        <w:rPr>
          <w:rFonts w:hint="eastAsia" w:ascii="仿宋" w:hAnsi="仿宋" w:eastAsia="仿宋"/>
          <w:sz w:val="30"/>
          <w:szCs w:val="30"/>
        </w:rPr>
        <w:t>外语、计算机</w:t>
      </w:r>
      <w:r>
        <w:rPr>
          <w:rFonts w:hint="eastAsia" w:ascii="仿宋" w:hAnsi="仿宋" w:eastAsia="仿宋" w:cs="仿宋"/>
          <w:sz w:val="30"/>
          <w:szCs w:val="30"/>
        </w:rPr>
        <w:t>能力水平的证书、应用成果等</w:t>
      </w:r>
      <w:r>
        <w:rPr>
          <w:rFonts w:hint="eastAsia" w:ascii="仿宋" w:hAnsi="仿宋" w:eastAsia="仿宋"/>
          <w:sz w:val="30"/>
          <w:szCs w:val="30"/>
        </w:rPr>
        <w:t>（不作为必备要求，作为量化评分要素）</w:t>
      </w:r>
    </w:p>
    <w:p>
      <w:pPr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12、</w:t>
      </w:r>
      <w:r>
        <w:rPr>
          <w:rFonts w:hint="eastAsia" w:ascii="仿宋" w:hAnsi="仿宋" w:eastAsia="仿宋"/>
          <w:sz w:val="30"/>
          <w:szCs w:val="30"/>
        </w:rPr>
        <w:t>缴纳社保凭证、委托评审函以及机关、参公单位人员证明文件</w:t>
      </w:r>
    </w:p>
    <w:p>
      <w:pPr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13、2015、2016、2017年《专业技术职务年度考核登记表》</w:t>
      </w:r>
      <w:r>
        <w:rPr>
          <w:rFonts w:hint="eastAsia" w:ascii="仿宋" w:hAnsi="仿宋" w:eastAsia="仿宋"/>
          <w:color w:val="000000"/>
          <w:sz w:val="30"/>
          <w:szCs w:val="30"/>
        </w:rPr>
        <w:t>复印件</w:t>
      </w:r>
    </w:p>
    <w:p>
      <w:pPr>
        <w:spacing w:line="52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14、反映卫生专业技术人员专业技术水平和能力的临床、科研相关材料</w:t>
      </w:r>
    </w:p>
    <w:p>
      <w:pPr>
        <w:spacing w:line="520" w:lineRule="exact"/>
        <w:rPr>
          <w:rFonts w:hint="eastAsia"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15、卫生专业技术类获奖证书，参与新项目推广的相关证明材料，申报科研并重型的提供科研相关</w:t>
      </w:r>
      <w:r>
        <w:rPr>
          <w:rFonts w:hint="eastAsia" w:ascii="仿宋" w:hAnsi="仿宋" w:eastAsia="仿宋"/>
          <w:color w:val="000000"/>
          <w:sz w:val="30"/>
          <w:szCs w:val="30"/>
        </w:rPr>
        <w:t>证书</w:t>
      </w:r>
    </w:p>
    <w:p>
      <w:pPr>
        <w:spacing w:line="52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16、代表性论文（最多3篇，含SCI论文检索报告，中文论文封面、目录、正文、封底）、论著或教材（最多1部，含封面、版权页、目录、封底）（原件装袋）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17、到上级医院进修证明、继续教育证书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18、医师类到基层服务证明材料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《湖北省卫生计生专业技术人员晋升职称前到基层服务记录表》、《湖北省卫生计生专业技术人员晋升职称前到基层服务考核鉴定表》，服务医联体下级医院的，提供医联体单位协议和双方盖章的基层服务证明）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19、单位提供专业技术人员现所在专业技术岗位及工作量（晚夜班）证明材料</w:t>
      </w:r>
    </w:p>
    <w:p>
      <w:pPr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20、个人业务总结一份</w:t>
      </w:r>
    </w:p>
    <w:p>
      <w:pPr>
        <w:spacing w:line="520" w:lineRule="exact"/>
        <w:ind w:firstLine="585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21、按照鄂职改办[2015]124号文件“临床为主型”申报副任医师的，由高评办从全省病案数据库中自动提取申报人有效病案，病案统计时间以病人出院时间为准，申报人仅需从2015年、2016年、2017三年中任选一年（附书面报告说明选定年份，由所在单位负责人签字并加盖公章），不再另行提供病案首页复印件。如拟选取2017年病案的申报医生，</w:t>
      </w:r>
      <w:r>
        <w:rPr>
          <w:rFonts w:ascii="仿宋" w:hAnsi="仿宋" w:eastAsia="仿宋"/>
          <w:color w:val="000000"/>
          <w:sz w:val="30"/>
          <w:szCs w:val="30"/>
        </w:rPr>
        <w:t>医院需</w:t>
      </w:r>
      <w:r>
        <w:rPr>
          <w:rFonts w:hint="eastAsia" w:ascii="仿宋" w:hAnsi="仿宋" w:eastAsia="仿宋"/>
          <w:color w:val="000000"/>
          <w:sz w:val="30"/>
          <w:szCs w:val="30"/>
        </w:rPr>
        <w:t>刻盘</w:t>
      </w:r>
      <w:r>
        <w:rPr>
          <w:rFonts w:ascii="仿宋" w:hAnsi="仿宋" w:eastAsia="仿宋"/>
          <w:color w:val="000000"/>
          <w:sz w:val="30"/>
          <w:szCs w:val="30"/>
        </w:rPr>
        <w:t>提交本院2017年度全部</w:t>
      </w:r>
      <w:r>
        <w:rPr>
          <w:rFonts w:hint="eastAsia" w:ascii="仿宋" w:hAnsi="仿宋" w:eastAsia="仿宋"/>
          <w:color w:val="000000"/>
          <w:sz w:val="30"/>
          <w:szCs w:val="30"/>
        </w:rPr>
        <w:t>的</w:t>
      </w:r>
      <w:r>
        <w:rPr>
          <w:rFonts w:ascii="仿宋" w:hAnsi="仿宋" w:eastAsia="仿宋"/>
          <w:color w:val="000000"/>
          <w:sz w:val="30"/>
          <w:szCs w:val="30"/>
        </w:rPr>
        <w:t>病案首页</w:t>
      </w:r>
      <w:r>
        <w:rPr>
          <w:rFonts w:hint="eastAsia" w:ascii="仿宋" w:hAnsi="仿宋" w:eastAsia="仿宋"/>
          <w:color w:val="000000"/>
          <w:sz w:val="30"/>
          <w:szCs w:val="30"/>
        </w:rPr>
        <w:t>，且严格按照“</w:t>
      </w:r>
      <w:r>
        <w:rPr>
          <w:rFonts w:ascii="仿宋" w:hAnsi="仿宋" w:eastAsia="仿宋"/>
          <w:color w:val="000000"/>
          <w:sz w:val="30"/>
          <w:szCs w:val="30"/>
        </w:rPr>
        <w:t>卫统4</w:t>
      </w:r>
      <w:r>
        <w:rPr>
          <w:rFonts w:hint="eastAsia" w:ascii="仿宋" w:hAnsi="仿宋" w:eastAsia="仿宋"/>
          <w:color w:val="000000"/>
          <w:sz w:val="30"/>
          <w:szCs w:val="30"/>
        </w:rPr>
        <w:t>”表接口规范导出数据，病案首页数据库应以</w:t>
      </w:r>
      <w:r>
        <w:rPr>
          <w:rFonts w:ascii="仿宋" w:hAnsi="仿宋" w:eastAsia="仿宋"/>
          <w:color w:val="000000"/>
          <w:sz w:val="30"/>
          <w:szCs w:val="30"/>
        </w:rPr>
        <w:t>“csv”或者“dbf”文件格式</w:t>
      </w:r>
      <w:r>
        <w:rPr>
          <w:rFonts w:hint="eastAsia" w:ascii="仿宋" w:hAnsi="仿宋" w:eastAsia="仿宋"/>
          <w:color w:val="000000"/>
          <w:sz w:val="30"/>
          <w:szCs w:val="30"/>
        </w:rPr>
        <w:t>保存。病案首页中，</w:t>
      </w:r>
      <w:r>
        <w:rPr>
          <w:rFonts w:ascii="仿宋" w:hAnsi="仿宋" w:eastAsia="仿宋"/>
          <w:color w:val="000000"/>
          <w:sz w:val="30"/>
          <w:szCs w:val="30"/>
        </w:rPr>
        <w:t>医院名称、病案号、姓名、性别、年龄、</w:t>
      </w:r>
      <w:r>
        <w:rPr>
          <w:rFonts w:hint="eastAsia" w:ascii="仿宋" w:hAnsi="仿宋" w:eastAsia="仿宋"/>
          <w:color w:val="000000"/>
          <w:sz w:val="30"/>
          <w:szCs w:val="30"/>
        </w:rPr>
        <w:t>入院日期、</w:t>
      </w:r>
      <w:r>
        <w:rPr>
          <w:rFonts w:ascii="仿宋" w:hAnsi="仿宋" w:eastAsia="仿宋"/>
          <w:color w:val="000000"/>
          <w:sz w:val="30"/>
          <w:szCs w:val="30"/>
        </w:rPr>
        <w:t>入院科室代码、入院科室名称、</w:t>
      </w:r>
      <w:r>
        <w:rPr>
          <w:rFonts w:hint="eastAsia" w:ascii="仿宋" w:hAnsi="仿宋" w:eastAsia="仿宋"/>
          <w:color w:val="000000"/>
          <w:sz w:val="30"/>
          <w:szCs w:val="30"/>
        </w:rPr>
        <w:t>出院日期、</w:t>
      </w:r>
      <w:r>
        <w:rPr>
          <w:rFonts w:ascii="仿宋" w:hAnsi="仿宋" w:eastAsia="仿宋"/>
          <w:color w:val="000000"/>
          <w:sz w:val="30"/>
          <w:szCs w:val="30"/>
        </w:rPr>
        <w:t>出院科室代码、出院科室名称、</w:t>
      </w:r>
      <w:r>
        <w:rPr>
          <w:rFonts w:hint="eastAsia" w:ascii="仿宋" w:hAnsi="仿宋" w:eastAsia="仿宋"/>
          <w:color w:val="000000"/>
          <w:sz w:val="30"/>
          <w:szCs w:val="30"/>
        </w:rPr>
        <w:t>实际住院天、诊断编码、诊断名称、手术编码、手术名称、出院情况、新生儿年龄及体重、离院方式、药品费用、耗材费用、总费用等字段不能为空。</w:t>
      </w:r>
      <w:r>
        <w:rPr>
          <w:rFonts w:ascii="仿宋" w:hAnsi="仿宋" w:eastAsia="仿宋"/>
          <w:color w:val="000000"/>
          <w:sz w:val="30"/>
          <w:szCs w:val="30"/>
        </w:rPr>
        <w:t>为</w:t>
      </w:r>
      <w:r>
        <w:rPr>
          <w:rFonts w:hint="eastAsia" w:ascii="仿宋" w:hAnsi="仿宋" w:eastAsia="仿宋"/>
          <w:color w:val="000000"/>
          <w:sz w:val="30"/>
          <w:szCs w:val="30"/>
        </w:rPr>
        <w:t>提高考评的准确性</w:t>
      </w:r>
      <w:r>
        <w:rPr>
          <w:rFonts w:ascii="仿宋" w:hAnsi="仿宋" w:eastAsia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</w:rPr>
        <w:t>建议将病案首页中的参评医师添加工号信息，以做唯一识别。</w:t>
      </w:r>
    </w:p>
    <w:p>
      <w:pPr>
        <w:spacing w:line="520" w:lineRule="exact"/>
        <w:ind w:firstLine="585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22、麻醉医师按临床为主型申报副主任医师的，提交近三年内任意3个月内（时间以实施手术麻醉的时间为准）的麻醉记录材料，安排专人复印或导出相关记录，另向高评办提交一份《关于2018年度申报副主任医师任职资格材料中麻醉记录材料审核情况的报告》，报告内容应包括：涉及的申报人，组织实施的过程，每位申报人的麻醉记录统计时段，记录数量和负责提取、审核记录的工作人员部门、姓名、职务。报告由单位病案室/医务科负责人、申报人所在单位负责人分别签字，加盖单位公章。（电子版上传至论文论著-各类表格、证明-</w:t>
      </w:r>
      <w:r>
        <w:rPr>
          <w:rFonts w:ascii="仿宋" w:hAnsi="仿宋" w:eastAsia="仿宋"/>
          <w:color w:val="000000"/>
          <w:sz w:val="30"/>
          <w:szCs w:val="30"/>
        </w:rPr>
        <w:t>任现职以来工作情况证明材料栏目</w:t>
      </w:r>
      <w:r>
        <w:rPr>
          <w:rFonts w:hint="eastAsia" w:ascii="仿宋" w:hAnsi="仿宋" w:eastAsia="仿宋"/>
          <w:color w:val="000000"/>
          <w:sz w:val="30"/>
          <w:szCs w:val="30"/>
        </w:rPr>
        <w:t>）</w:t>
      </w:r>
    </w:p>
    <w:p>
      <w:pPr>
        <w:spacing w:line="520" w:lineRule="exact"/>
        <w:ind w:firstLine="585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高评办将对单独提供病案首页和麻醉记录的单位进行重点督查，一经查实存在弄需作假行为的，认定为提供虚假材料，按省职改办文件进行严肃处理和追责。</w:t>
      </w:r>
    </w:p>
    <w:p>
      <w:pPr>
        <w:rPr>
          <w:color w:val="000000"/>
        </w:rPr>
      </w:pPr>
    </w:p>
    <w:p>
      <w:pPr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高评办联系电话：88041911转84352/86440</w:t>
      </w:r>
    </w:p>
    <w:p>
      <w:pPr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高评办地址：武汉市武昌区解放路238号 武汉大学人民医院学术活动中心607室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019BF"/>
    <w:rsid w:val="4B5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2018-11-09T09:07:00Z</dcterms:created>
  <dc:creator>NTKO</dc:creator>
  <cp:lastModifiedBy>NTKO</cp:lastModifiedBy>
  <dcterms:modified xsi:type="dcterms:W3CDTF">2018-11-09T09:08:29Z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